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350" w:rsidRPr="00E60A06" w:rsidRDefault="00F97EC2" w:rsidP="00E62BC6">
      <w:pPr>
        <w:spacing w:line="480" w:lineRule="auto"/>
        <w:jc w:val="center"/>
        <w:rPr>
          <w:rFonts w:cs="Times New Roman"/>
          <w:szCs w:val="24"/>
        </w:rPr>
      </w:pPr>
      <w:r w:rsidRPr="00E60A06">
        <w:rPr>
          <w:rFonts w:cs="Times New Roman"/>
          <w:szCs w:val="24"/>
        </w:rPr>
        <w:t>Juvenile Justice</w:t>
      </w:r>
    </w:p>
    <w:p w:rsidR="00E60A06" w:rsidRPr="00E60A06" w:rsidRDefault="00E60A06" w:rsidP="00E60A06">
      <w:pPr>
        <w:pStyle w:val="NormalWeb"/>
        <w:spacing w:before="0" w:beforeAutospacing="0" w:after="0" w:afterAutospacing="0" w:line="480" w:lineRule="auto"/>
        <w:ind w:firstLine="720"/>
        <w:rPr>
          <w:color w:val="1C1E29"/>
        </w:rPr>
      </w:pPr>
      <w:r w:rsidRPr="00E60A06">
        <w:rPr>
          <w:color w:val="1C1E29"/>
        </w:rPr>
        <w:t>Juvenile criminal activities have been one of the most significant challenges to international law as well as the state government. According to international law, a juvenile is a young person who is capable of committing delinquency. According to the state's definition, youth is a person of adolescence at the age of 10 to 18 years and capable of being engaged in crime. The action</w:t>
      </w:r>
      <w:r>
        <w:rPr>
          <w:color w:val="1C1E29"/>
        </w:rPr>
        <w:t>s</w:t>
      </w:r>
      <w:r w:rsidRPr="00E60A06">
        <w:rPr>
          <w:color w:val="1C1E29"/>
        </w:rPr>
        <w:t xml:space="preserve"> that childre</w:t>
      </w:r>
      <w:r>
        <w:rPr>
          <w:color w:val="1C1E29"/>
        </w:rPr>
        <w:t>n and adolescents participate are</w:t>
      </w:r>
      <w:r w:rsidRPr="00E60A06">
        <w:rPr>
          <w:color w:val="1C1E29"/>
        </w:rPr>
        <w:t xml:space="preserve"> risky behavior such as shoplifting, drugs, street fighting, among others (Elrod, &amp; Ryder, 2013). The difference is that the international state does not specify the age of the young adult to be considered as a juvenile. In contrast, the country has specific detail about the minor. The state definition has specified the action involved in juvenile crime while the international definition has generalized. Therefore the difference between the two definitions is that international law is a general statement, while the state definition is a specific statement.</w:t>
      </w:r>
    </w:p>
    <w:p w:rsidR="00E60A06" w:rsidRPr="00E60A06" w:rsidRDefault="00E60A06" w:rsidP="00E60A06">
      <w:pPr>
        <w:pStyle w:val="NormalWeb"/>
        <w:spacing w:before="0" w:beforeAutospacing="0" w:after="0" w:afterAutospacing="0" w:line="480" w:lineRule="auto"/>
        <w:ind w:firstLine="720"/>
        <w:rPr>
          <w:color w:val="1C1E29"/>
        </w:rPr>
      </w:pPr>
      <w:r w:rsidRPr="00E60A06">
        <w:rPr>
          <w:color w:val="1C1E29"/>
        </w:rPr>
        <w:t xml:space="preserve">It is not fair that some juveniles are treated as adults in some states. The law operates in some understanding that a youth requires a different treatment than that of the adults. In some cases, juveniles need special consideration and other forms of punishment to develop and reform rather than incarceration in adults' prison. Unfortunately, the court system is yet to modify the uniformity of how juveniles should be treated. Authorities are confused in the definition of the line between destroying a child and reforming a minor in the right direction. Prosecuting a child in the adult court is dangerous to the adulthood of that kid. According to </w:t>
      </w:r>
      <w:proofErr w:type="spellStart"/>
      <w:r w:rsidRPr="00E60A06">
        <w:rPr>
          <w:color w:val="1C1E29"/>
        </w:rPr>
        <w:t>Bolm</w:t>
      </w:r>
      <w:proofErr w:type="spellEnd"/>
      <w:r w:rsidRPr="00E60A06">
        <w:rPr>
          <w:color w:val="1C1E29"/>
        </w:rPr>
        <w:t xml:space="preserve"> and Haley (2017), the children convicted in adult court are rearrested 82 % of the time while those that are condemned in juveniles are rearrested 16% times less. In adult court, adult criminal becomes the advisers of the adolescences and the children imprisoned there.</w:t>
      </w:r>
    </w:p>
    <w:p w:rsidR="00E60A06" w:rsidRPr="00E60A06" w:rsidRDefault="00E60A06" w:rsidP="00E60A06">
      <w:pPr>
        <w:pStyle w:val="NormalWeb"/>
        <w:spacing w:before="0" w:beforeAutospacing="0" w:after="0" w:afterAutospacing="0" w:line="480" w:lineRule="auto"/>
        <w:ind w:firstLine="720"/>
        <w:rPr>
          <w:color w:val="1C1E29"/>
        </w:rPr>
      </w:pPr>
      <w:r w:rsidRPr="00E60A06">
        <w:rPr>
          <w:color w:val="1C1E29"/>
        </w:rPr>
        <w:lastRenderedPageBreak/>
        <w:t>The reason why the state came up with juvenile systems is that the society did not want to destroy the young immoral young but to protect them and provide the necessary services such as rehabilitation. Enrolling youths in counseling and guidance programs help them prevent recidivism, prevent addiction from drug abuse, offer religious teaching as well as engage them in profitable activities (Elrod, &amp; Ryder, 2013). Youths need more resources such as skills to engage in acceptable economic activities when they are released from the prison rather than face the devastating effects of being housed in the adult's prison systems.</w:t>
      </w:r>
    </w:p>
    <w:p w:rsidR="00E60A06" w:rsidRDefault="00E60A06" w:rsidP="00E60A06">
      <w:pPr>
        <w:pStyle w:val="NormalWeb"/>
        <w:spacing w:before="0" w:beforeAutospacing="0" w:after="0" w:afterAutospacing="0" w:line="480" w:lineRule="auto"/>
        <w:ind w:firstLine="720"/>
        <w:rPr>
          <w:color w:val="1C1E29"/>
        </w:rPr>
      </w:pPr>
      <w:r w:rsidRPr="00E60A06">
        <w:rPr>
          <w:color w:val="1C1E29"/>
        </w:rPr>
        <w:t>In the United States, the minimum age of a child to be considered juvenile is ten years. However, children below ten years are seldom seen in juvenile courts. In case such a child is observed, a punitive measure such as incarceration is not recommendable. Instead, such a child should be enrolled in counseling and guidance by the court but under the help of parents. Also, such a child should be entered in school to acquire formal educational programs, competence, experience, and skills to help grow in a responsible person.</w:t>
      </w:r>
    </w:p>
    <w:p w:rsidR="00E60A06" w:rsidRPr="00E60A06" w:rsidRDefault="00E60A06" w:rsidP="00E60A06">
      <w:pPr>
        <w:pStyle w:val="NormalWeb"/>
        <w:spacing w:before="0" w:beforeAutospacing="0" w:after="0" w:afterAutospacing="0" w:line="480" w:lineRule="auto"/>
        <w:rPr>
          <w:color w:val="1C1E29"/>
        </w:rPr>
      </w:pPr>
    </w:p>
    <w:p w:rsidR="00703224" w:rsidRDefault="00703224" w:rsidP="00E60A06">
      <w:pPr>
        <w:spacing w:line="480" w:lineRule="auto"/>
        <w:ind w:firstLine="720"/>
        <w:rPr>
          <w:rFonts w:cs="Times New Roman"/>
          <w:szCs w:val="24"/>
        </w:rPr>
      </w:pPr>
    </w:p>
    <w:p w:rsidR="00F97EC2" w:rsidRDefault="00F97EC2" w:rsidP="00E60A06">
      <w:pPr>
        <w:spacing w:line="480" w:lineRule="auto"/>
        <w:ind w:firstLine="720"/>
        <w:rPr>
          <w:rFonts w:cs="Times New Roman"/>
          <w:szCs w:val="24"/>
        </w:rPr>
      </w:pPr>
    </w:p>
    <w:p w:rsidR="00F97EC2" w:rsidRDefault="00F97EC2" w:rsidP="00E60A06">
      <w:pPr>
        <w:spacing w:line="480" w:lineRule="auto"/>
        <w:ind w:firstLine="720"/>
        <w:rPr>
          <w:rFonts w:cs="Times New Roman"/>
          <w:szCs w:val="24"/>
        </w:rPr>
      </w:pPr>
    </w:p>
    <w:p w:rsidR="00F97EC2" w:rsidRDefault="00F97EC2" w:rsidP="00E60A06">
      <w:pPr>
        <w:spacing w:line="480" w:lineRule="auto"/>
        <w:ind w:firstLine="720"/>
        <w:rPr>
          <w:rFonts w:cs="Times New Roman"/>
          <w:szCs w:val="24"/>
        </w:rPr>
      </w:pPr>
    </w:p>
    <w:p w:rsidR="00F97EC2" w:rsidRDefault="00F97EC2" w:rsidP="00E60A06">
      <w:pPr>
        <w:spacing w:line="480" w:lineRule="auto"/>
        <w:ind w:firstLine="720"/>
        <w:rPr>
          <w:rFonts w:cs="Times New Roman"/>
          <w:szCs w:val="24"/>
        </w:rPr>
      </w:pPr>
    </w:p>
    <w:p w:rsidR="00F97EC2" w:rsidRDefault="00F97EC2" w:rsidP="00E60A06">
      <w:pPr>
        <w:spacing w:line="480" w:lineRule="auto"/>
        <w:ind w:firstLine="720"/>
        <w:rPr>
          <w:rFonts w:cs="Times New Roman"/>
          <w:szCs w:val="24"/>
        </w:rPr>
      </w:pPr>
    </w:p>
    <w:p w:rsidR="00E62BC6" w:rsidRDefault="00E62BC6" w:rsidP="00E62BC6">
      <w:pPr>
        <w:spacing w:line="480" w:lineRule="auto"/>
        <w:rPr>
          <w:rFonts w:cs="Times New Roman"/>
          <w:szCs w:val="24"/>
        </w:rPr>
      </w:pPr>
    </w:p>
    <w:p w:rsidR="00E60A06" w:rsidRPr="00E60A06" w:rsidRDefault="00770F30" w:rsidP="00E62BC6">
      <w:pPr>
        <w:spacing w:line="480" w:lineRule="auto"/>
        <w:jc w:val="center"/>
        <w:rPr>
          <w:rFonts w:cs="Times New Roman"/>
          <w:szCs w:val="24"/>
        </w:rPr>
      </w:pPr>
      <w:r w:rsidRPr="00E60A06">
        <w:rPr>
          <w:rFonts w:cs="Times New Roman"/>
          <w:szCs w:val="24"/>
        </w:rPr>
        <w:lastRenderedPageBreak/>
        <w:t>References</w:t>
      </w:r>
    </w:p>
    <w:p w:rsidR="00E60A06" w:rsidRPr="00E60A06" w:rsidRDefault="00E60A06" w:rsidP="00E60A06">
      <w:pPr>
        <w:spacing w:line="480" w:lineRule="auto"/>
        <w:ind w:left="720" w:hanging="720"/>
        <w:rPr>
          <w:rFonts w:cs="Times New Roman"/>
          <w:szCs w:val="24"/>
        </w:rPr>
      </w:pPr>
      <w:proofErr w:type="spellStart"/>
      <w:proofErr w:type="gramStart"/>
      <w:r w:rsidRPr="00E60A06">
        <w:rPr>
          <w:rFonts w:cs="Times New Roman"/>
          <w:color w:val="222222"/>
          <w:szCs w:val="24"/>
          <w:shd w:val="clear" w:color="auto" w:fill="FFFFFF"/>
        </w:rPr>
        <w:t>Bohm</w:t>
      </w:r>
      <w:proofErr w:type="spellEnd"/>
      <w:r w:rsidRPr="00E60A06">
        <w:rPr>
          <w:rFonts w:cs="Times New Roman"/>
          <w:color w:val="222222"/>
          <w:szCs w:val="24"/>
          <w:shd w:val="clear" w:color="auto" w:fill="FFFFFF"/>
        </w:rPr>
        <w:t xml:space="preserve">, R. M., &amp; Haley, K. N. </w:t>
      </w:r>
      <w:proofErr w:type="gramEnd"/>
      <w:r w:rsidRPr="00E60A06">
        <w:rPr>
          <w:rFonts w:cs="Times New Roman"/>
          <w:color w:val="222222"/>
          <w:szCs w:val="24"/>
          <w:shd w:val="clear" w:color="auto" w:fill="FFFFFF"/>
        </w:rPr>
        <w:t>(2017)</w:t>
      </w:r>
      <w:bookmarkStart w:id="0" w:name="_GoBack"/>
      <w:bookmarkEnd w:id="0"/>
      <w:r w:rsidRPr="00E60A06">
        <w:rPr>
          <w:rFonts w:cs="Times New Roman"/>
          <w:color w:val="222222"/>
          <w:szCs w:val="24"/>
          <w:shd w:val="clear" w:color="auto" w:fill="FFFFFF"/>
        </w:rPr>
        <w:t>. </w:t>
      </w:r>
      <w:proofErr w:type="gramStart"/>
      <w:r w:rsidRPr="00E60A06">
        <w:rPr>
          <w:rFonts w:cs="Times New Roman"/>
          <w:i/>
          <w:iCs/>
          <w:color w:val="222222"/>
          <w:szCs w:val="24"/>
          <w:shd w:val="clear" w:color="auto" w:fill="FFFFFF"/>
        </w:rPr>
        <w:t>Introduction to criminal justice</w:t>
      </w:r>
      <w:r w:rsidRPr="00E60A06">
        <w:rPr>
          <w:rFonts w:cs="Times New Roman"/>
          <w:color w:val="222222"/>
          <w:szCs w:val="24"/>
          <w:shd w:val="clear" w:color="auto" w:fill="FFFFFF"/>
        </w:rPr>
        <w:t>.</w:t>
      </w:r>
      <w:proofErr w:type="gramEnd"/>
      <w:r w:rsidRPr="00E60A06">
        <w:rPr>
          <w:rFonts w:cs="Times New Roman"/>
          <w:color w:val="222222"/>
          <w:szCs w:val="24"/>
          <w:shd w:val="clear" w:color="auto" w:fill="FFFFFF"/>
        </w:rPr>
        <w:t xml:space="preserve"> </w:t>
      </w:r>
      <w:proofErr w:type="gramStart"/>
      <w:r w:rsidRPr="00E60A06">
        <w:rPr>
          <w:rFonts w:cs="Times New Roman"/>
          <w:color w:val="222222"/>
          <w:szCs w:val="24"/>
          <w:shd w:val="clear" w:color="auto" w:fill="FFFFFF"/>
        </w:rPr>
        <w:t>McGraw-Hill Education.</w:t>
      </w:r>
      <w:proofErr w:type="gramEnd"/>
    </w:p>
    <w:p w:rsidR="00E60A06" w:rsidRPr="00E60A06" w:rsidRDefault="00E60A06" w:rsidP="00E60A06">
      <w:pPr>
        <w:spacing w:line="480" w:lineRule="auto"/>
        <w:ind w:left="720" w:hanging="720"/>
        <w:rPr>
          <w:rFonts w:cs="Times New Roman"/>
          <w:szCs w:val="24"/>
        </w:rPr>
      </w:pPr>
      <w:r w:rsidRPr="00E60A06">
        <w:rPr>
          <w:rFonts w:cs="Times New Roman"/>
          <w:color w:val="000000"/>
          <w:szCs w:val="24"/>
          <w:shd w:val="clear" w:color="auto" w:fill="FFFFFF"/>
        </w:rPr>
        <w:t>Elrod, P., &amp; Ryder, S. (2013). : Juvenile Justice: A Social, Historical and Legal Perspective</w:t>
      </w:r>
      <w:proofErr w:type="gramStart"/>
      <w:r w:rsidRPr="00E60A06">
        <w:rPr>
          <w:rFonts w:cs="Times New Roman"/>
          <w:color w:val="000000"/>
          <w:szCs w:val="24"/>
          <w:shd w:val="clear" w:color="auto" w:fill="FFFFFF"/>
        </w:rPr>
        <w:t>,.</w:t>
      </w:r>
      <w:proofErr w:type="gramEnd"/>
      <w:r w:rsidRPr="00E60A06">
        <w:rPr>
          <w:rFonts w:cs="Times New Roman"/>
          <w:color w:val="000000"/>
          <w:szCs w:val="24"/>
          <w:shd w:val="clear" w:color="auto" w:fill="FFFFFF"/>
        </w:rPr>
        <w:t xml:space="preserve"> Retrieved 24 January 2020, from https://www.amazon.com/Juvenile-Justice-Social-Historical-Perspective/dp/0763762512</w:t>
      </w:r>
    </w:p>
    <w:sectPr w:rsidR="00E60A06" w:rsidRPr="00E60A06" w:rsidSect="009E5350">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129" w:rsidRDefault="003D6129" w:rsidP="009E5350">
      <w:pPr>
        <w:spacing w:after="0" w:line="240" w:lineRule="auto"/>
      </w:pPr>
      <w:r>
        <w:separator/>
      </w:r>
    </w:p>
  </w:endnote>
  <w:endnote w:type="continuationSeparator" w:id="0">
    <w:p w:rsidR="003D6129" w:rsidRDefault="003D6129" w:rsidP="009E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129" w:rsidRDefault="003D6129" w:rsidP="009E5350">
      <w:pPr>
        <w:spacing w:after="0" w:line="240" w:lineRule="auto"/>
      </w:pPr>
      <w:r>
        <w:separator/>
      </w:r>
    </w:p>
  </w:footnote>
  <w:footnote w:type="continuationSeparator" w:id="0">
    <w:p w:rsidR="003D6129" w:rsidRDefault="003D6129" w:rsidP="009E5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DE3" w:rsidRDefault="00AE7DE3">
    <w:pPr>
      <w:pStyle w:val="Header"/>
      <w:jc w:val="right"/>
    </w:pPr>
  </w:p>
  <w:p w:rsidR="00AE7DE3" w:rsidRDefault="00AE7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350"/>
    <w:rsid w:val="00062047"/>
    <w:rsid w:val="000B4774"/>
    <w:rsid w:val="0013252D"/>
    <w:rsid w:val="003D6129"/>
    <w:rsid w:val="00642B4E"/>
    <w:rsid w:val="00700396"/>
    <w:rsid w:val="00703224"/>
    <w:rsid w:val="00770F30"/>
    <w:rsid w:val="007F64F3"/>
    <w:rsid w:val="00902464"/>
    <w:rsid w:val="009E5350"/>
    <w:rsid w:val="00AE7DE3"/>
    <w:rsid w:val="00C23021"/>
    <w:rsid w:val="00E60A06"/>
    <w:rsid w:val="00E62BC6"/>
    <w:rsid w:val="00F03317"/>
    <w:rsid w:val="00F97EC2"/>
    <w:rsid w:val="00FE5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350"/>
  </w:style>
  <w:style w:type="paragraph" w:styleId="Footer">
    <w:name w:val="footer"/>
    <w:basedOn w:val="Normal"/>
    <w:link w:val="FooterChar"/>
    <w:uiPriority w:val="99"/>
    <w:unhideWhenUsed/>
    <w:rsid w:val="009E5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350"/>
  </w:style>
  <w:style w:type="paragraph" w:styleId="NormalWeb">
    <w:name w:val="Normal (Web)"/>
    <w:basedOn w:val="Normal"/>
    <w:uiPriority w:val="99"/>
    <w:semiHidden/>
    <w:unhideWhenUsed/>
    <w:rsid w:val="00E60A0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60A0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350"/>
  </w:style>
  <w:style w:type="paragraph" w:styleId="Footer">
    <w:name w:val="footer"/>
    <w:basedOn w:val="Normal"/>
    <w:link w:val="FooterChar"/>
    <w:uiPriority w:val="99"/>
    <w:unhideWhenUsed/>
    <w:rsid w:val="009E5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350"/>
  </w:style>
  <w:style w:type="paragraph" w:styleId="NormalWeb">
    <w:name w:val="Normal (Web)"/>
    <w:basedOn w:val="Normal"/>
    <w:uiPriority w:val="99"/>
    <w:semiHidden/>
    <w:unhideWhenUsed/>
    <w:rsid w:val="00E60A0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60A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68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2</cp:revision>
  <dcterms:created xsi:type="dcterms:W3CDTF">2020-01-24T12:49:00Z</dcterms:created>
  <dcterms:modified xsi:type="dcterms:W3CDTF">2020-01-24T12:49:00Z</dcterms:modified>
</cp:coreProperties>
</file>